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vsd" ContentType="application/vnd.visio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70" w:rsidRPr="007F6EDD" w:rsidRDefault="00674170" w:rsidP="0067417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t>ЛАБОРАТОРНАЯ РАБОТА 1.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t>САМОЗАПУСК АСИНХРОННОГО ЭЛЕКТРОДВИГАТЕЛЯ</w:t>
      </w:r>
    </w:p>
    <w:p w:rsidR="001942C5" w:rsidRPr="007F6EDD" w:rsidRDefault="001942C5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t xml:space="preserve">1 Цель работы </w:t>
      </w:r>
    </w:p>
    <w:p w:rsidR="00674170" w:rsidRPr="007F6EDD" w:rsidRDefault="001942C5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674170" w:rsidRPr="007F6EDD">
        <w:rPr>
          <w:rFonts w:ascii="Times New Roman" w:hAnsi="Times New Roman" w:cs="Times New Roman"/>
          <w:sz w:val="28"/>
          <w:szCs w:val="28"/>
        </w:rPr>
        <w:t xml:space="preserve">процесса самозапуска </w:t>
      </w:r>
      <w:r w:rsidRPr="007F6EDD">
        <w:rPr>
          <w:rFonts w:ascii="Times New Roman" w:hAnsi="Times New Roman" w:cs="Times New Roman"/>
          <w:sz w:val="28"/>
          <w:szCs w:val="28"/>
        </w:rPr>
        <w:t xml:space="preserve">одного асинхронного двигателя и </w:t>
      </w:r>
      <w:r w:rsidR="00674170" w:rsidRPr="007F6EDD">
        <w:rPr>
          <w:rFonts w:ascii="Times New Roman" w:hAnsi="Times New Roman" w:cs="Times New Roman"/>
          <w:sz w:val="28"/>
          <w:szCs w:val="28"/>
        </w:rPr>
        <w:t xml:space="preserve">определение мощности и состава нагрузки, </w:t>
      </w:r>
      <w:r w:rsidRPr="007F6EDD">
        <w:rPr>
          <w:rFonts w:ascii="Times New Roman" w:hAnsi="Times New Roman" w:cs="Times New Roman"/>
          <w:sz w:val="28"/>
          <w:szCs w:val="28"/>
        </w:rPr>
        <w:t>при которой обеспечивается самозапуск двигателя</w:t>
      </w:r>
      <w:r w:rsidR="00674170" w:rsidRPr="007F6EDD">
        <w:rPr>
          <w:rFonts w:ascii="Times New Roman" w:hAnsi="Times New Roman" w:cs="Times New Roman"/>
          <w:sz w:val="28"/>
          <w:szCs w:val="28"/>
        </w:rPr>
        <w:t>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91A19" w:rsidRPr="007F6EDD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Pr="007F6EDD">
        <w:rPr>
          <w:rFonts w:ascii="Times New Roman" w:hAnsi="Times New Roman" w:cs="Times New Roman"/>
          <w:b/>
          <w:sz w:val="28"/>
          <w:szCs w:val="28"/>
        </w:rPr>
        <w:t xml:space="preserve"> часть </w:t>
      </w:r>
    </w:p>
    <w:p w:rsidR="00A82C7D" w:rsidRPr="007F6EDD" w:rsidRDefault="0054559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В электрических сетях в результате коротких замыканий случаются кратковременные, длительностью до нескольких секунд, большие понижения напряжения или перерывы питания. </w:t>
      </w:r>
      <w:r w:rsidR="00A82C7D"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 это время частота вращения двигателей уменьшается. </w:t>
      </w:r>
      <w:r w:rsidR="00A82FA5"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Если,</w:t>
      </w:r>
      <w:r w:rsidR="00A82C7D"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перерыв продолжителен, то двигатели останавливаются полностью. При восстановлении напряжения по резервной линии двигатели снова запускаются и разворачиваются до рабочей частоты вращения.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Этот процесс называют самозапуском двигателей.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Самозапуском называется восстановление нормальной работы электродвигателя с механизмом на валу без вмешательства эксплуатационного персонала после кратковременного перерыва электроснабжения или глубокого снижения напряжения.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Самозапуск считается обеспеченным, если после восстановления напряжения агрегат разогнался до нормальной частоты вращения и продолжает длительно работать с нормальной (до аварийной) нагрузкой двигателя.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Основные отличия самозапуска от пуска заключаются в следующем: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– при быстром подключении обесточенной секции к резервному источнику питания на ней в момент подключения всегда имеется некоторое остаточное напряжение;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– в момент восстановления напряжения все двигатели или их большая часть вращаются, при пуске – стоят;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– самозапуск происходит при нагруженных двигателях, что </w:t>
      </w:r>
      <w:r w:rsidRPr="007F6EDD">
        <w:rPr>
          <w:rFonts w:ascii="Times New Roman" w:hAnsi="Times New Roman" w:cs="Times New Roman"/>
          <w:sz w:val="28"/>
          <w:szCs w:val="28"/>
        </w:rPr>
        <w:lastRenderedPageBreak/>
        <w:t>увеличивает длительность разгона и нагрев двигателей;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– если в самозапуске участвует одновременно группа двигателей, то </w:t>
      </w: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снижение напряжения в узле промышленной нагрузки при самозапуске больше, чем при пуске одного АД</w:t>
      </w:r>
      <w:r w:rsidRPr="007F6EDD">
        <w:rPr>
          <w:rFonts w:ascii="Times New Roman" w:hAnsi="Times New Roman" w:cs="Times New Roman"/>
          <w:sz w:val="28"/>
          <w:szCs w:val="28"/>
        </w:rPr>
        <w:t>. Соответственно уменьшается вращающий момент, что приводит к увеличению времени их разгона.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момент пуска из сети потребляется ток в 4-7 выше номинального значения тока двигателя. Пусковой ток создает дополнительное падение напряжения, например в трансформаторе, от которого питается двигатель. Мощность двигателя, как правило, меньше мощности трансформатора, поэтому дополнительное падение напряжения в трансформаторе составляет незначительную величину. Можно считать, что пуск одного двигателя происходит при номинальном напряжении.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2C7D" w:rsidRPr="007F6EDD" w:rsidRDefault="00A82C7D" w:rsidP="00A82C7D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DD">
        <w:rPr>
          <w:noProof/>
          <w:lang w:eastAsia="ru-RU"/>
        </w:rPr>
        <w:drawing>
          <wp:inline distT="0" distB="0" distL="0" distR="0" wp14:anchorId="44FDE996" wp14:editId="5BF6FDC0">
            <wp:extent cx="3535200" cy="28404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5200" cy="28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C7D" w:rsidRPr="007F6EDD" w:rsidRDefault="00A82C7D" w:rsidP="00A82C7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  <w:r w:rsidRPr="007F6EDD">
        <w:rPr>
          <w:rFonts w:ascii="Times New Roman" w:hAnsi="Times New Roman" w:cs="Times New Roman"/>
          <w:sz w:val="28"/>
          <w:szCs w:val="28"/>
        </w:rPr>
        <w:t>Рисунок 1.1 – Характеристики</w:t>
      </w: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асинхронного</w:t>
      </w:r>
      <w:r w:rsidRPr="007F6E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F6ED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двигателя при номинальном напряжении </w:t>
      </w:r>
      <w:r w:rsidRPr="007F6E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при снижении напряжения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таком случае асинхронный момент двигателя (кривая 1) в 1,5- 2,0 раза превосходит момент нагрузки (кривая 4) и под действием значительного избыточного момента происходит быстрый разворот двигателя (рисунок 1.1).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 одновременном запуске всех двигателей дополнительное падение напряжения в трансформаторе может быть значительным. Действительно, если </w:t>
      </w: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предположить, что вся нагрузка на трансформаторе состоит только из двигателей, пусковой ток может в 4-7 раз превосходить номинальный ток трансформатора. Реактивный характер периодической составляющей пускового тока приводит к значительному уменьшению модуля напряжения.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и значительное снижение напряжения на шинах </w:t>
      </w:r>
      <w:r w:rsidRPr="007F6E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электроустановки влияет на нормальную и устойчивую ра</w:t>
      </w:r>
      <w:r w:rsidRPr="007F6E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остальных потребителей электроэнергии.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Вращающий момент асинхронного электродвигателя</w:t>
      </w:r>
      <w:r w:rsidRPr="007F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пропорционален квадрату на</w:t>
      </w:r>
      <w:r w:rsidRPr="007F6E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пряжения </w:t>
      </w:r>
      <w:r w:rsidRPr="007F6ED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</w:t>
      </w:r>
      <w:r w:rsidRPr="007F6EDD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7F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зажимах двигателя.</w:t>
      </w: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При пониженном напряжении асинхронный момент двигателя уменьшается (кривая 2). Пуск двигателя затягивается, а в особо тяжелых случаях </w:t>
      </w:r>
      <w:r w:rsidRPr="007F6E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максимальный вращающий мо</w:t>
      </w:r>
      <w:r w:rsidRPr="007F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 электродвигателя </w:t>
      </w: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(кривая 3) </w:t>
      </w:r>
      <w:r w:rsidRPr="007F6E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оказаться меньше момента сопротивления нагрузки (кривая 4) и электродвига</w:t>
      </w:r>
      <w:r w:rsidRPr="007F6E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тель остановится</w:t>
      </w: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A82C7D" w:rsidRPr="007F6EDD" w:rsidRDefault="00A82C7D" w:rsidP="00A82C7D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таких случаях часть двигателей должна быть отключена для запуска оставшихся двигателей наиболее ответственных потребителей. Их число должно быть рассчитано. Расчет самозапуска следует проводить с учетом характеристик двигателей, моментов сопротивления и мощности источника питания.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Процесс самозапуска состоит из двух этапов: выбега и разгона.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EDD">
        <w:rPr>
          <w:rFonts w:ascii="Times New Roman" w:hAnsi="Times New Roman" w:cs="Times New Roman"/>
          <w:i/>
          <w:sz w:val="28"/>
          <w:szCs w:val="28"/>
        </w:rPr>
        <w:t>Этап выбега.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Как только нарушается электроснабжение, электромагнитный момент двигателя исчезает и начинается процесс остановки двигателя под действием момента сопротивления нагрузки.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По количеству двигателей выбег может быть одиночным или групповым. Одиночный выбег имеет место, когда один электродвигатель оказывается отсоединённым от сети. Выбег такого двигателя называется «свободным». Если отключаются двигатели, подключённые к одной системе шин, то начинается групповой выбег.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У любого двигателя, отключённого от источника питания, при выбеге в обмотке статора наводится ЭДС. У асинхронных двигателей она невелика, у синхронных – значительна. 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При групповом выбеге двигатели оказываются связанными между </w:t>
      </w:r>
      <w:r w:rsidRPr="007F6EDD">
        <w:rPr>
          <w:rFonts w:ascii="Times New Roman" w:hAnsi="Times New Roman" w:cs="Times New Roman"/>
          <w:sz w:val="28"/>
          <w:szCs w:val="28"/>
        </w:rPr>
        <w:lastRenderedPageBreak/>
        <w:t xml:space="preserve">собой через общие шины. Запасённая ими кинетическая энергия по величине разная у разных двигателей. Имеющие больший запас энергии двигатели переходят в генераторный режим, и у них на валу появляется дополнительный тормозной момент. Двигатели с меньшим запасом кинетической энергии получают дополнительный вращающий момент за счёт подпитки от первых. 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EDD">
        <w:rPr>
          <w:rFonts w:ascii="Times New Roman" w:hAnsi="Times New Roman" w:cs="Times New Roman"/>
          <w:i/>
          <w:sz w:val="28"/>
          <w:szCs w:val="28"/>
        </w:rPr>
        <w:t>Этап разгона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Происходит разгон от частоты вращения, примерно соответствующей моменту восстановления питания, до частоты вращения, соответствующей исходному рабочему режиму.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Бросок тока в момент подачи напряжения определяется по выражению:</w:t>
      </w:r>
    </w:p>
    <w:tbl>
      <w:tblPr>
        <w:tblStyle w:val="a6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414"/>
        <w:gridCol w:w="1080"/>
      </w:tblGrid>
      <w:tr w:rsidR="007F6EDD" w:rsidRPr="007F6EDD" w:rsidTr="00410540">
        <w:tc>
          <w:tcPr>
            <w:tcW w:w="564" w:type="pct"/>
            <w:vAlign w:val="center"/>
          </w:tcPr>
          <w:p w:rsidR="00A82C7D" w:rsidRPr="007F6EDD" w:rsidRDefault="00A82C7D" w:rsidP="0041054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pct"/>
            <w:vAlign w:val="center"/>
          </w:tcPr>
          <w:p w:rsidR="00A82C7D" w:rsidRPr="007F6EDD" w:rsidRDefault="00A82C7D" w:rsidP="0041054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EDD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719" w:dyaOrig="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40.2pt" o:ole="">
                  <v:imagedata r:id="rId9" o:title=""/>
                </v:shape>
                <o:OLEObject Type="Embed" ProgID="Equation.DSMT4" ShapeID="_x0000_i1025" DrawAspect="Content" ObjectID="_1589277767" r:id="rId10"/>
              </w:object>
            </w:r>
            <w:r w:rsidRPr="007F6E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64" w:type="pct"/>
            <w:vAlign w:val="center"/>
          </w:tcPr>
          <w:p w:rsidR="00A82C7D" w:rsidRPr="007F6EDD" w:rsidRDefault="00A82C7D" w:rsidP="00410540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6EDD">
              <w:rPr>
                <w:rFonts w:ascii="Times New Roman" w:hAnsi="Times New Roman" w:cs="Times New Roman"/>
                <w:sz w:val="28"/>
                <w:szCs w:val="28"/>
              </w:rPr>
              <w:t>(1.1)</w:t>
            </w:r>
          </w:p>
        </w:tc>
      </w:tr>
    </w:tbl>
    <w:p w:rsidR="00A82C7D" w:rsidRPr="007F6EDD" w:rsidRDefault="00A82C7D" w:rsidP="00A82C7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где </w:t>
      </w:r>
      <w:r w:rsidRPr="007F6EDD">
        <w:rPr>
          <w:position w:val="-12"/>
        </w:rPr>
        <w:object w:dxaOrig="380" w:dyaOrig="380">
          <v:shape id="_x0000_i1026" type="#_x0000_t75" style="width:18.6pt;height:18.6pt" o:ole="">
            <v:imagedata r:id="rId11" o:title=""/>
          </v:shape>
          <o:OLEObject Type="Embed" ProgID="Equation.DSMT4" ShapeID="_x0000_i1026" DrawAspect="Content" ObjectID="_1589277768" r:id="rId12"/>
        </w:object>
      </w:r>
      <w:r w:rsidRPr="007F6EDD">
        <w:rPr>
          <w:rFonts w:ascii="Times New Roman" w:hAnsi="Times New Roman" w:cs="Times New Roman"/>
          <w:sz w:val="28"/>
          <w:szCs w:val="28"/>
        </w:rPr>
        <w:t xml:space="preserve"> – напряжение сети; </w:t>
      </w:r>
      <w:r w:rsidRPr="007F6EDD">
        <w:rPr>
          <w:position w:val="-16"/>
        </w:rPr>
        <w:object w:dxaOrig="400" w:dyaOrig="420">
          <v:shape id="_x0000_i1027" type="#_x0000_t75" style="width:19.2pt;height:21pt" o:ole="">
            <v:imagedata r:id="rId13" o:title=""/>
          </v:shape>
          <o:OLEObject Type="Embed" ProgID="Equation.DSMT4" ShapeID="_x0000_i1027" DrawAspect="Content" ObjectID="_1589277769" r:id="rId14"/>
        </w:object>
      </w:r>
      <w:r w:rsidRPr="007F6EDD">
        <w:t xml:space="preserve"> </w:t>
      </w:r>
      <w:r w:rsidRPr="007F6EDD">
        <w:rPr>
          <w:rFonts w:ascii="Times New Roman" w:hAnsi="Times New Roman" w:cs="Times New Roman"/>
          <w:sz w:val="28"/>
          <w:szCs w:val="28"/>
        </w:rPr>
        <w:t xml:space="preserve">– ЭДС двигателя, </w:t>
      </w:r>
      <w:r w:rsidRPr="007F6EDD">
        <w:rPr>
          <w:position w:val="-12"/>
        </w:rPr>
        <w:object w:dxaOrig="340" w:dyaOrig="380">
          <v:shape id="_x0000_i1028" type="#_x0000_t75" style="width:16.8pt;height:18.6pt" o:ole="">
            <v:imagedata r:id="rId15" o:title=""/>
          </v:shape>
          <o:OLEObject Type="Embed" ProgID="Equation.DSMT4" ShapeID="_x0000_i1028" DrawAspect="Content" ObjectID="_1589277770" r:id="rId16"/>
        </w:object>
      </w:r>
      <w:r w:rsidRPr="007F6EDD">
        <w:rPr>
          <w:rFonts w:ascii="Times New Roman" w:hAnsi="Times New Roman" w:cs="Times New Roman"/>
          <w:sz w:val="28"/>
          <w:szCs w:val="28"/>
        </w:rPr>
        <w:t xml:space="preserve"> – суммарное сопротивление от точки приложения ЭДС до источника питания.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Видно, что в самом худшем случае, когда вектор напряжения сети </w:t>
      </w:r>
      <w:r w:rsidRPr="007F6EDD">
        <w:rPr>
          <w:position w:val="-12"/>
        </w:rPr>
        <w:object w:dxaOrig="380" w:dyaOrig="380">
          <v:shape id="_x0000_i1029" type="#_x0000_t75" style="width:18.6pt;height:18.6pt" o:ole="">
            <v:imagedata r:id="rId17" o:title=""/>
          </v:shape>
          <o:OLEObject Type="Embed" ProgID="Equation.DSMT4" ShapeID="_x0000_i1029" DrawAspect="Content" ObjectID="_1589277771" r:id="rId18"/>
        </w:object>
      </w:r>
      <w:r w:rsidRPr="007F6EDD">
        <w:rPr>
          <w:rFonts w:ascii="Times New Roman" w:hAnsi="Times New Roman" w:cs="Times New Roman"/>
          <w:sz w:val="28"/>
          <w:szCs w:val="28"/>
        </w:rPr>
        <w:t xml:space="preserve"> и ЭДС двигателя </w:t>
      </w:r>
      <w:r w:rsidRPr="007F6EDD">
        <w:rPr>
          <w:position w:val="-16"/>
        </w:rPr>
        <w:object w:dxaOrig="400" w:dyaOrig="420">
          <v:shape id="_x0000_i1030" type="#_x0000_t75" style="width:21pt;height:21pt" o:ole="">
            <v:imagedata r:id="rId19" o:title=""/>
          </v:shape>
          <o:OLEObject Type="Embed" ProgID="Equation.DSMT4" ShapeID="_x0000_i1030" DrawAspect="Content" ObjectID="_1589277772" r:id="rId20"/>
        </w:object>
      </w:r>
      <w:r w:rsidRPr="007F6EDD">
        <w:rPr>
          <w:rFonts w:ascii="Times New Roman" w:hAnsi="Times New Roman" w:cs="Times New Roman"/>
          <w:sz w:val="28"/>
          <w:szCs w:val="28"/>
        </w:rPr>
        <w:t xml:space="preserve"> находятся в противофазе, ток самозапуска может значительно превышать пусковой:  </w:t>
      </w:r>
      <w:r w:rsidRPr="007F6EDD">
        <w:rPr>
          <w:rFonts w:ascii="Times New Roman" w:hAnsi="Times New Roman" w:cs="Times New Roman"/>
          <w:position w:val="-34"/>
          <w:sz w:val="28"/>
          <w:szCs w:val="28"/>
        </w:rPr>
        <w:object w:dxaOrig="1740" w:dyaOrig="800">
          <v:shape id="_x0000_i1031" type="#_x0000_t75" style="width:87pt;height:40.2pt" o:ole="">
            <v:imagedata r:id="rId21" o:title=""/>
          </v:shape>
          <o:OLEObject Type="Embed" ProgID="Equation.DSMT4" ShapeID="_x0000_i1031" DrawAspect="Content" ObjectID="_1589277773" r:id="rId22"/>
        </w:object>
      </w:r>
      <w:r w:rsidRPr="007F6EDD">
        <w:rPr>
          <w:rFonts w:ascii="Times New Roman" w:hAnsi="Times New Roman" w:cs="Times New Roman"/>
          <w:sz w:val="28"/>
          <w:szCs w:val="28"/>
        </w:rPr>
        <w:t>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Однако ЭДС асинхронного двигателя затухает быстро, и к моменту восстановления напряжения она невелика. Поэтому ток включения при самозапуске асинхронного двигателя ненамного превышает пусковой.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У синхронного двигателя ЭДС в момент восстановления электроснабжения может быть равна напряжению сети или даже превышать его. Соответственно и ток включения может почти в два раза превышать пусковой и вызывать повреждения в двигателе. Однако, если в момент нарушения электроснабжения начинать гасить </w:t>
      </w:r>
      <w:r w:rsidR="00860CE7">
        <w:rPr>
          <w:rFonts w:ascii="Times New Roman" w:hAnsi="Times New Roman" w:cs="Times New Roman"/>
          <w:sz w:val="28"/>
          <w:szCs w:val="28"/>
        </w:rPr>
        <w:t xml:space="preserve">магнитное </w:t>
      </w:r>
      <w:r w:rsidRPr="007F6EDD">
        <w:rPr>
          <w:rFonts w:ascii="Times New Roman" w:hAnsi="Times New Roman" w:cs="Times New Roman"/>
          <w:sz w:val="28"/>
          <w:szCs w:val="28"/>
        </w:rPr>
        <w:t>поле ротора, бросок тока при самозапуске будет практически равен пусковому току.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Асинхронный двигатель при наличии напряжения на его зажимах </w:t>
      </w:r>
      <w:r w:rsidRPr="007F6EDD">
        <w:rPr>
          <w:rFonts w:ascii="Times New Roman" w:hAnsi="Times New Roman" w:cs="Times New Roman"/>
          <w:sz w:val="28"/>
          <w:szCs w:val="28"/>
        </w:rPr>
        <w:lastRenderedPageBreak/>
        <w:t>будет разгоняться только в том случае, если развиваемый им вращающий момент будет больше момента сопротивления механизма.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Таким образом, для обеспечения разгона двигателя достаточно выполнить условие </w:t>
      </w:r>
      <w:r w:rsidRPr="007F6EDD">
        <w:rPr>
          <w:position w:val="-12"/>
        </w:rPr>
        <w:object w:dxaOrig="1020" w:dyaOrig="380">
          <v:shape id="_x0000_i1032" type="#_x0000_t75" style="width:51pt;height:18.6pt" o:ole="">
            <v:imagedata r:id="rId23" o:title=""/>
          </v:shape>
          <o:OLEObject Type="Embed" ProgID="Equation.DSMT4" ShapeID="_x0000_i1032" DrawAspect="Content" ObjectID="_1589277774" r:id="rId24"/>
        </w:object>
      </w:r>
      <w:r w:rsidRPr="007F6EDD">
        <w:rPr>
          <w:rFonts w:ascii="Times New Roman" w:hAnsi="Times New Roman" w:cs="Times New Roman"/>
          <w:sz w:val="28"/>
          <w:szCs w:val="28"/>
        </w:rPr>
        <w:t>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Двигатель при самозапуске разгоняется медленнее, чем при пуске. Более длительный разгон вызывает нагрев двигателя. Поэтому успешным считается такой самозапуск, когда двигатель разгонится до рабочей скорости и при этом температура обмоток не превысит допустимого значения.</w:t>
      </w:r>
    </w:p>
    <w:p w:rsidR="00A82C7D" w:rsidRPr="007F6EDD" w:rsidRDefault="00A82C7D" w:rsidP="00A82C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Практически все асинхронные двигатели, выпускаемые промышленностью, допускают возможность, как минимум, одного самозапуска без превышения температуры обмоток сверх допустимой. 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Данная работа позволяет смоделировать процесс самозапуска одного асинхронного двигателя в предположении того, что от этой же секции шин питается еще некоторая </w:t>
      </w:r>
      <w:r w:rsidR="00A82C7D" w:rsidRPr="007F6EDD">
        <w:rPr>
          <w:rFonts w:ascii="Times New Roman" w:hAnsi="Times New Roman" w:cs="Times New Roman"/>
          <w:sz w:val="28"/>
          <w:szCs w:val="28"/>
        </w:rPr>
        <w:t xml:space="preserve">реактивная </w:t>
      </w:r>
      <w:r w:rsidRPr="007F6EDD">
        <w:rPr>
          <w:rFonts w:ascii="Times New Roman" w:hAnsi="Times New Roman" w:cs="Times New Roman"/>
          <w:sz w:val="28"/>
          <w:szCs w:val="28"/>
        </w:rPr>
        <w:t>нагрузка.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t>3 Оборудование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170" w:rsidRPr="007F6EDD" w:rsidRDefault="00674170" w:rsidP="0067417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Таблица 1.1 – Перечень аппаратуры используемой в лабораторной работе № 1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76"/>
        <w:gridCol w:w="4596"/>
        <w:gridCol w:w="1108"/>
        <w:gridCol w:w="2090"/>
      </w:tblGrid>
      <w:tr w:rsidR="007F6EDD" w:rsidRPr="007F6EDD" w:rsidTr="008B7C4C">
        <w:trPr>
          <w:jc w:val="center"/>
        </w:trPr>
        <w:tc>
          <w:tcPr>
            <w:tcW w:w="928" w:type="pct"/>
            <w:vAlign w:val="center"/>
          </w:tcPr>
          <w:p w:rsidR="00674170" w:rsidRPr="007F6EDD" w:rsidRDefault="00674170" w:rsidP="008B7C4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EDD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2401" w:type="pct"/>
            <w:vAlign w:val="center"/>
          </w:tcPr>
          <w:p w:rsidR="00674170" w:rsidRPr="007F6EDD" w:rsidRDefault="00674170" w:rsidP="008B7C4C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ED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79" w:type="pct"/>
            <w:vAlign w:val="center"/>
          </w:tcPr>
          <w:p w:rsidR="00674170" w:rsidRPr="007F6EDD" w:rsidRDefault="00674170" w:rsidP="008B7C4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EDD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092" w:type="pct"/>
            <w:vAlign w:val="center"/>
          </w:tcPr>
          <w:p w:rsidR="00674170" w:rsidRPr="007F6EDD" w:rsidRDefault="00674170" w:rsidP="008B7C4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EDD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</w:tr>
      <w:tr w:rsidR="007F6EDD" w:rsidRPr="007F6EDD" w:rsidTr="008B7C4C">
        <w:trPr>
          <w:jc w:val="center"/>
        </w:trPr>
        <w:tc>
          <w:tcPr>
            <w:tcW w:w="928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А1</w:t>
            </w:r>
          </w:p>
        </w:tc>
        <w:tc>
          <w:tcPr>
            <w:tcW w:w="2401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Трёхфазная трансформаторная</w:t>
            </w:r>
          </w:p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группа</w:t>
            </w:r>
          </w:p>
        </w:tc>
        <w:tc>
          <w:tcPr>
            <w:tcW w:w="579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347.3</w:t>
            </w:r>
          </w:p>
        </w:tc>
        <w:tc>
          <w:tcPr>
            <w:tcW w:w="1092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3</w:t>
            </w:r>
            <w:r w:rsidRPr="007F6EDD">
              <w:sym w:font="Symbol" w:char="F0B4"/>
            </w:r>
            <w:r w:rsidRPr="007F6EDD">
              <w:t>80 В</w:t>
            </w:r>
            <w:r w:rsidRPr="007F6EDD">
              <w:sym w:font="Symbol" w:char="F0D7"/>
            </w:r>
            <w:r w:rsidRPr="007F6EDD">
              <w:t>А  (звезда) / 220, 225, 230 В / 133, 220, 230, 235, 240, 245  В</w:t>
            </w:r>
          </w:p>
        </w:tc>
      </w:tr>
      <w:tr w:rsidR="007F6EDD" w:rsidRPr="007F6EDD" w:rsidTr="008B7C4C">
        <w:trPr>
          <w:jc w:val="center"/>
        </w:trPr>
        <w:tc>
          <w:tcPr>
            <w:tcW w:w="928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А2</w:t>
            </w:r>
          </w:p>
        </w:tc>
        <w:tc>
          <w:tcPr>
            <w:tcW w:w="2401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Модель линии электропередачи</w:t>
            </w:r>
          </w:p>
        </w:tc>
        <w:tc>
          <w:tcPr>
            <w:tcW w:w="579" w:type="pct"/>
            <w:vAlign w:val="center"/>
          </w:tcPr>
          <w:p w:rsidR="00674170" w:rsidRPr="007F6EDD" w:rsidRDefault="00674170" w:rsidP="008B7C4C">
            <w:pPr>
              <w:pStyle w:val="2"/>
              <w:ind w:firstLine="0"/>
              <w:jc w:val="center"/>
              <w:rPr>
                <w:b w:val="0"/>
                <w:u w:val="none"/>
              </w:rPr>
            </w:pPr>
            <w:r w:rsidRPr="007F6EDD">
              <w:rPr>
                <w:b w:val="0"/>
                <w:u w:val="none"/>
              </w:rPr>
              <w:t>313.2</w:t>
            </w:r>
          </w:p>
        </w:tc>
        <w:tc>
          <w:tcPr>
            <w:tcW w:w="1092" w:type="pct"/>
            <w:vAlign w:val="center"/>
          </w:tcPr>
          <w:p w:rsidR="00674170" w:rsidRPr="007F6EDD" w:rsidRDefault="00674170" w:rsidP="008B7C4C">
            <w:pPr>
              <w:pStyle w:val="2"/>
              <w:ind w:firstLine="0"/>
              <w:jc w:val="center"/>
              <w:rPr>
                <w:b w:val="0"/>
                <w:u w:val="none"/>
              </w:rPr>
            </w:pPr>
            <w:r w:rsidRPr="007F6EDD">
              <w:rPr>
                <w:b w:val="0"/>
                <w:u w:val="none"/>
              </w:rPr>
              <w:t xml:space="preserve">400 В ~; 3 </w:t>
            </w:r>
            <w:r w:rsidRPr="007F6EDD">
              <w:rPr>
                <w:b w:val="0"/>
                <w:u w:val="none"/>
                <w:lang w:val="en-US"/>
              </w:rPr>
              <w:sym w:font="Symbol" w:char="F0B4"/>
            </w:r>
            <w:r w:rsidRPr="007F6EDD">
              <w:rPr>
                <w:b w:val="0"/>
                <w:u w:val="none"/>
              </w:rPr>
              <w:t xml:space="preserve"> 0,5 А</w:t>
            </w:r>
          </w:p>
        </w:tc>
      </w:tr>
      <w:tr w:rsidR="007F6EDD" w:rsidRPr="007F6EDD" w:rsidTr="008B7C4C">
        <w:trPr>
          <w:jc w:val="center"/>
        </w:trPr>
        <w:tc>
          <w:tcPr>
            <w:tcW w:w="928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А3</w:t>
            </w:r>
          </w:p>
        </w:tc>
        <w:tc>
          <w:tcPr>
            <w:tcW w:w="2401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Индуктивная нагрузка</w:t>
            </w:r>
          </w:p>
        </w:tc>
        <w:tc>
          <w:tcPr>
            <w:tcW w:w="579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324.2</w:t>
            </w:r>
          </w:p>
        </w:tc>
        <w:tc>
          <w:tcPr>
            <w:tcW w:w="1092" w:type="pct"/>
            <w:vAlign w:val="center"/>
          </w:tcPr>
          <w:p w:rsidR="00674170" w:rsidRPr="007F6EDD" w:rsidRDefault="00674170" w:rsidP="008B7C4C">
            <w:pPr>
              <w:jc w:val="center"/>
            </w:pPr>
            <w:r w:rsidRPr="007F6EDD">
              <w:t>220/380 В; 50Гц;</w:t>
            </w:r>
          </w:p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3х40 Вар</w:t>
            </w:r>
          </w:p>
        </w:tc>
      </w:tr>
      <w:tr w:rsidR="007F6EDD" w:rsidRPr="007F6EDD" w:rsidTr="008B7C4C">
        <w:trPr>
          <w:jc w:val="center"/>
        </w:trPr>
        <w:tc>
          <w:tcPr>
            <w:tcW w:w="928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rPr>
                <w:lang w:val="en-US"/>
              </w:rPr>
              <w:t>G</w:t>
            </w:r>
            <w:r w:rsidRPr="007F6EDD">
              <w:t>1</w:t>
            </w:r>
          </w:p>
        </w:tc>
        <w:tc>
          <w:tcPr>
            <w:tcW w:w="2401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Трехфазный источник питания</w:t>
            </w:r>
          </w:p>
        </w:tc>
        <w:tc>
          <w:tcPr>
            <w:tcW w:w="579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201.2</w:t>
            </w:r>
          </w:p>
        </w:tc>
        <w:tc>
          <w:tcPr>
            <w:tcW w:w="1092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~</w:t>
            </w:r>
            <w:r w:rsidRPr="007F6EDD">
              <w:rPr>
                <w:lang w:val="en-US"/>
              </w:rPr>
              <w:t xml:space="preserve"> </w:t>
            </w:r>
            <w:r w:rsidRPr="007F6EDD">
              <w:t>400 В  / 16 А</w:t>
            </w:r>
          </w:p>
        </w:tc>
      </w:tr>
      <w:tr w:rsidR="007F6EDD" w:rsidRPr="007F6EDD" w:rsidTr="008B7C4C">
        <w:trPr>
          <w:jc w:val="center"/>
        </w:trPr>
        <w:tc>
          <w:tcPr>
            <w:tcW w:w="928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rPr>
                <w:lang w:val="en-US"/>
              </w:rPr>
              <w:t>G</w:t>
            </w:r>
            <w:r w:rsidRPr="007F6EDD">
              <w:t>2</w:t>
            </w:r>
          </w:p>
        </w:tc>
        <w:tc>
          <w:tcPr>
            <w:tcW w:w="2401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Преобразователь угловых перемещений</w:t>
            </w:r>
          </w:p>
        </w:tc>
        <w:tc>
          <w:tcPr>
            <w:tcW w:w="579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104</w:t>
            </w:r>
          </w:p>
        </w:tc>
        <w:tc>
          <w:tcPr>
            <w:tcW w:w="1092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2500 импульсов за оборот</w:t>
            </w:r>
          </w:p>
        </w:tc>
      </w:tr>
      <w:tr w:rsidR="007F6EDD" w:rsidRPr="007F6EDD" w:rsidTr="008B7C4C">
        <w:trPr>
          <w:jc w:val="center"/>
        </w:trPr>
        <w:tc>
          <w:tcPr>
            <w:tcW w:w="928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Р1</w:t>
            </w:r>
          </w:p>
        </w:tc>
        <w:tc>
          <w:tcPr>
            <w:tcW w:w="2401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Указатель частоты вращения</w:t>
            </w:r>
          </w:p>
        </w:tc>
        <w:tc>
          <w:tcPr>
            <w:tcW w:w="579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506.2</w:t>
            </w:r>
          </w:p>
        </w:tc>
        <w:tc>
          <w:tcPr>
            <w:tcW w:w="1092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-2000…0…2000 мин</w:t>
            </w:r>
            <w:r w:rsidRPr="007F6EDD">
              <w:rPr>
                <w:vertAlign w:val="superscript"/>
              </w:rPr>
              <w:sym w:font="Symbol" w:char="F02D"/>
            </w:r>
            <w:r w:rsidRPr="007F6EDD">
              <w:rPr>
                <w:vertAlign w:val="superscript"/>
              </w:rPr>
              <w:t>1</w:t>
            </w:r>
          </w:p>
        </w:tc>
      </w:tr>
      <w:tr w:rsidR="007F6EDD" w:rsidRPr="007F6EDD" w:rsidTr="008B7C4C">
        <w:trPr>
          <w:trHeight w:val="65"/>
          <w:jc w:val="center"/>
        </w:trPr>
        <w:tc>
          <w:tcPr>
            <w:tcW w:w="928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Р2</w:t>
            </w:r>
          </w:p>
        </w:tc>
        <w:tc>
          <w:tcPr>
            <w:tcW w:w="2401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Блок мультиметров</w:t>
            </w:r>
          </w:p>
        </w:tc>
        <w:tc>
          <w:tcPr>
            <w:tcW w:w="579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509.2</w:t>
            </w:r>
          </w:p>
        </w:tc>
        <w:tc>
          <w:tcPr>
            <w:tcW w:w="1092" w:type="pct"/>
            <w:vAlign w:val="center"/>
          </w:tcPr>
          <w:p w:rsidR="00674170" w:rsidRPr="007F6EDD" w:rsidRDefault="00674170" w:rsidP="008B7C4C">
            <w:pPr>
              <w:pStyle w:val="a9"/>
              <w:ind w:firstLine="0"/>
              <w:jc w:val="center"/>
            </w:pPr>
            <w:r w:rsidRPr="007F6EDD">
              <w:t>Три мультиметра</w:t>
            </w:r>
          </w:p>
        </w:tc>
      </w:tr>
    </w:tbl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lastRenderedPageBreak/>
        <w:t>4 Указание по технике безопасности: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1. К работе на стендах допускаются студенты, прошедшие инструктаж по технике безопасности при выполнении работ в лабораториях кафедры «Электроснабжения и эксплуатации электрооборудования» и ознакомившиеся с настоящими методическими указаниями. Прохождение инструктажа по технике безопасности фиксируется преподавателем в специальном журнале.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2. Лабораторная работа должна выполняться не менее чем двумя студентами.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3. Сборку схемы осуществлять исправными соединительными проводами, используя при этом приведенные в лабораторной работе принципиальные схемы экспериментов.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4. Собранная цепь проверяется преподавателем и может включаться только по его разрешению и при его наблюдении. О включении напряжения предупреждают всех членов бригады, выполняющих работу.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5. Изменения схемы производят только при выключенном напряжении на стенде, а вновь собранная схема перед подачей на неё напряжения проверяется преподавателем.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6. По окончании испытания или при перерыве в работе схему отключают от напряжения питания. Разборку схемы осуществляют по разрешению преподавателя.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7. При возникновении неисправностей, а также в случае появления запаха, свидетельствующего о возгорании электрических проводов или оборудования, следует незамедлительно прекратить работу с лабораторным стендом, выключив его из сети, и обратиться к преподавателю или обслуживающему персоналу.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59D" w:rsidRPr="007F6EDD" w:rsidRDefault="0054559D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59D" w:rsidRPr="007F6EDD" w:rsidRDefault="0054559D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59D" w:rsidRPr="007F6EDD" w:rsidRDefault="003D19EE" w:rsidP="003D1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lastRenderedPageBreak/>
        <w:t>5 Методика и порядок выполнения работы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1. Убедитесь, что устройства, используемые в эксперименте, отключены от сети электропитания.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2. Соберите электрическую схему соединений тепловой защиты машины переменного тока</w:t>
      </w:r>
      <w:r w:rsidR="00F15967">
        <w:rPr>
          <w:rFonts w:ascii="Times New Roman" w:hAnsi="Times New Roman" w:cs="Times New Roman"/>
          <w:sz w:val="28"/>
          <w:szCs w:val="28"/>
        </w:rPr>
        <w:t xml:space="preserve"> </w:t>
      </w:r>
      <w:r w:rsidR="00F15967" w:rsidRPr="00F15967">
        <w:rPr>
          <w:rFonts w:ascii="Times New Roman" w:hAnsi="Times New Roman" w:cs="Times New Roman"/>
          <w:sz w:val="28"/>
          <w:szCs w:val="28"/>
        </w:rPr>
        <w:t>(рисунок П.4.1)</w:t>
      </w:r>
      <w:r w:rsidRPr="007F6EDD">
        <w:rPr>
          <w:rFonts w:ascii="Times New Roman" w:hAnsi="Times New Roman" w:cs="Times New Roman"/>
          <w:sz w:val="28"/>
          <w:szCs w:val="28"/>
        </w:rPr>
        <w:t>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3. Соедините гнезда защитного заземления "</w:t>
      </w:r>
      <w:r w:rsidRPr="007F6E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061FEE" wp14:editId="7203E38C">
            <wp:extent cx="194945" cy="194945"/>
            <wp:effectExtent l="0" t="0" r="0" b="0"/>
            <wp:docPr id="2" name="Рисунок 2" descr="Зазем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земление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EDD">
        <w:rPr>
          <w:rFonts w:ascii="Times New Roman" w:hAnsi="Times New Roman" w:cs="Times New Roman"/>
          <w:sz w:val="28"/>
          <w:szCs w:val="28"/>
        </w:rPr>
        <w:t>" устройств, используемых в эксперименте, с гнездом «РЕ» источника G1.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4. Соедините аппаратуру в соответствии с электрической схемой соединений</w:t>
      </w:r>
      <w:r w:rsidR="00F02212">
        <w:rPr>
          <w:rFonts w:ascii="Times New Roman" w:hAnsi="Times New Roman" w:cs="Times New Roman"/>
          <w:sz w:val="28"/>
          <w:szCs w:val="28"/>
        </w:rPr>
        <w:t xml:space="preserve"> </w:t>
      </w:r>
      <w:r w:rsidR="00F02212" w:rsidRPr="00F02212">
        <w:rPr>
          <w:rFonts w:ascii="Times New Roman" w:hAnsi="Times New Roman" w:cs="Times New Roman"/>
          <w:sz w:val="28"/>
          <w:szCs w:val="28"/>
        </w:rPr>
        <w:t>(рисунок 1.2)</w:t>
      </w:r>
      <w:bookmarkStart w:id="0" w:name="_GoBack"/>
      <w:bookmarkEnd w:id="0"/>
      <w:r w:rsidRPr="007F6EDD">
        <w:rPr>
          <w:rFonts w:ascii="Times New Roman" w:hAnsi="Times New Roman" w:cs="Times New Roman"/>
          <w:sz w:val="28"/>
          <w:szCs w:val="28"/>
        </w:rPr>
        <w:t>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5. Переключатели номинальных первичного и вторичного фазных напряжений трехфазной трансформаторной группы А1 установите соответственно равными 220 и 133 В. 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6. Параметры линии электропередачи А2 установите следующими: </w:t>
      </w:r>
      <w:r w:rsidRPr="007F6EDD">
        <w:rPr>
          <w:rFonts w:ascii="Times New Roman" w:hAnsi="Times New Roman" w:cs="Times New Roman"/>
          <w:sz w:val="28"/>
          <w:szCs w:val="28"/>
        </w:rPr>
        <w:br/>
        <w:t>R = 0 Ом, L/RL = 0,9 Гн/ 24 Ом, С1=С2=0 мкФ.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7. Установите в каждой фазе индуктивной нагрузки А3 ее величину, равную 100 %.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8. Включите выключатели «СЕТЬ» блоков Р1 и Р2. Активизируйте мультиметр блока Р2.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9. Включите источник G1. О наличии напряжений на его выходе должны сигнализировать светящиеся светодиоды. 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EDD">
        <w:rPr>
          <w:rFonts w:ascii="Times New Roman" w:hAnsi="Times New Roman" w:cs="Times New Roman"/>
          <w:i/>
          <w:sz w:val="28"/>
          <w:szCs w:val="28"/>
        </w:rPr>
        <w:t>Двигатель М1 окажется подключенным к электрической сети и может прийти во вращение. Если двигатель не запустился, то это говорит о недостаточном уровне напряжения на нем для самозапуска.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10. Нажмите кнопку «ОТКЛ.» источника G1.</w:t>
      </w:r>
    </w:p>
    <w:p w:rsidR="00674170" w:rsidRPr="007F6EDD" w:rsidRDefault="00A82C7D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 xml:space="preserve">11. </w:t>
      </w:r>
      <w:r w:rsidR="00674170" w:rsidRPr="007F6EDD">
        <w:rPr>
          <w:rFonts w:ascii="Times New Roman" w:hAnsi="Times New Roman" w:cs="Times New Roman"/>
          <w:sz w:val="28"/>
          <w:szCs w:val="28"/>
        </w:rPr>
        <w:t xml:space="preserve">Подобрать максимально возможную нагрузку А3, при которой обеспечивается самозапуск двигателя М1. 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1</w:t>
      </w:r>
      <w:r w:rsidR="00A82C7D" w:rsidRPr="007F6EDD">
        <w:rPr>
          <w:rFonts w:ascii="Times New Roman" w:hAnsi="Times New Roman" w:cs="Times New Roman"/>
          <w:sz w:val="28"/>
          <w:szCs w:val="28"/>
        </w:rPr>
        <w:t>2</w:t>
      </w:r>
      <w:r w:rsidRPr="007F6EDD">
        <w:rPr>
          <w:rFonts w:ascii="Times New Roman" w:hAnsi="Times New Roman" w:cs="Times New Roman"/>
          <w:sz w:val="28"/>
          <w:szCs w:val="28"/>
        </w:rPr>
        <w:t>. Отключите выключатели «СЕТЬ» блоков, задействованных в эксперименте.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EDD">
        <w:object w:dxaOrig="7201" w:dyaOrig="14187">
          <v:shape id="_x0000_i1033" type="#_x0000_t75" style="width:342.6pt;height:674.4pt" o:ole="">
            <v:imagedata r:id="rId26" o:title=""/>
          </v:shape>
          <o:OLEObject Type="Embed" ProgID="Visio.Drawing.15" ShapeID="_x0000_i1033" DrawAspect="Content" ObjectID="_1589277775" r:id="rId27"/>
        </w:objec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Рисунок 1.</w:t>
      </w:r>
      <w:r w:rsidR="00A82C7D" w:rsidRPr="007F6EDD">
        <w:rPr>
          <w:rFonts w:ascii="Times New Roman" w:hAnsi="Times New Roman" w:cs="Times New Roman"/>
          <w:sz w:val="28"/>
          <w:szCs w:val="28"/>
        </w:rPr>
        <w:t>2</w:t>
      </w:r>
      <w:r w:rsidRPr="007F6EDD">
        <w:rPr>
          <w:rFonts w:ascii="Times New Roman" w:hAnsi="Times New Roman" w:cs="Times New Roman"/>
          <w:sz w:val="28"/>
          <w:szCs w:val="28"/>
        </w:rPr>
        <w:t xml:space="preserve"> – Электрическая схема соединений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lastRenderedPageBreak/>
        <w:t>6 Содержание отчета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Каждый студент, выполнивший лабораторную работу должен оформить отчет и предоставить его преподавателю. В соответствии с общими требованиями отчет должен содержать: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1. Название и цель лабораторной работы;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2. Перечень используемой аппаратуры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3. Электрическая схема соединений;</w:t>
      </w:r>
    </w:p>
    <w:p w:rsidR="000C7D2B" w:rsidRPr="007F6EDD" w:rsidRDefault="000C7D2B" w:rsidP="000C7D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4. Порядок выполнения работы;</w:t>
      </w:r>
    </w:p>
    <w:p w:rsidR="000C7D2B" w:rsidRPr="007F6EDD" w:rsidRDefault="000C7D2B" w:rsidP="000C7D2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5. Выводы по работе.</w:t>
      </w: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170" w:rsidRPr="007F6EDD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DD">
        <w:rPr>
          <w:rFonts w:ascii="Times New Roman" w:hAnsi="Times New Roman" w:cs="Times New Roman"/>
          <w:b/>
          <w:sz w:val="28"/>
          <w:szCs w:val="28"/>
        </w:rPr>
        <w:t>7 Контрольные вопросы</w:t>
      </w:r>
    </w:p>
    <w:p w:rsidR="00FF3B1A" w:rsidRPr="007F6EDD" w:rsidRDefault="00FF3B1A" w:rsidP="00FF3B1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1. Поясните термин «самозапуск двигателя».</w:t>
      </w:r>
    </w:p>
    <w:p w:rsidR="00FF3B1A" w:rsidRPr="007F6EDD" w:rsidRDefault="00FF3B1A" w:rsidP="00FF3B1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2. Какой параметр режима сети определяет величину электромагнитного момента двигателя?</w:t>
      </w:r>
    </w:p>
    <w:p w:rsidR="00FF3B1A" w:rsidRPr="007F6EDD" w:rsidRDefault="00FF3B1A" w:rsidP="00FF3B1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hAnsi="Times New Roman" w:cs="Times New Roman"/>
          <w:sz w:val="28"/>
          <w:szCs w:val="28"/>
        </w:rPr>
        <w:t>3. В чем заключаются отличия самозапуска от пуска?</w:t>
      </w:r>
    </w:p>
    <w:p w:rsidR="00FF3B1A" w:rsidRPr="007F6EDD" w:rsidRDefault="00FF3B1A" w:rsidP="00FF3B1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6EDD">
        <w:rPr>
          <w:rFonts w:ascii="Times New Roman" w:hAnsi="Times New Roman" w:cs="Times New Roman"/>
          <w:sz w:val="28"/>
          <w:szCs w:val="28"/>
        </w:rPr>
        <w:t>4. Поясните характеристики</w:t>
      </w:r>
      <w:r w:rsidRPr="007F6E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асинхронного</w:t>
      </w:r>
      <w:r w:rsidRPr="007F6E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F6ED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двигателя при номинальном напряжении </w:t>
      </w:r>
      <w:r w:rsidRPr="007F6E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при снижении напряжения.</w:t>
      </w:r>
    </w:p>
    <w:p w:rsidR="00FF3B1A" w:rsidRPr="007F6EDD" w:rsidRDefault="00FF3B1A" w:rsidP="00FF3B1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6E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5. Из каких этапов состоит процесс самозапуска?</w:t>
      </w:r>
    </w:p>
    <w:p w:rsidR="00FF3B1A" w:rsidRPr="007F6EDD" w:rsidRDefault="00FF3B1A" w:rsidP="00FF3B1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6. Чему равен </w:t>
      </w:r>
      <w:r w:rsidRPr="007F6EDD">
        <w:rPr>
          <w:rFonts w:ascii="Times New Roman" w:hAnsi="Times New Roman" w:cs="Times New Roman"/>
          <w:sz w:val="28"/>
          <w:szCs w:val="28"/>
        </w:rPr>
        <w:t>ток включения при самозапуске асинхронного двигателя?</w:t>
      </w:r>
    </w:p>
    <w:p w:rsidR="000C7D2B" w:rsidRPr="007F6EDD" w:rsidRDefault="000C7D2B">
      <w:pPr>
        <w:rPr>
          <w:rFonts w:ascii="Times New Roman" w:hAnsi="Times New Roman" w:cs="Times New Roman"/>
          <w:sz w:val="28"/>
          <w:szCs w:val="28"/>
        </w:rPr>
      </w:pPr>
    </w:p>
    <w:sectPr w:rsidR="000C7D2B" w:rsidRPr="007F6EDD" w:rsidSect="000943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65" w:rsidRDefault="009E2865" w:rsidP="007E44F6">
      <w:pPr>
        <w:spacing w:after="0" w:line="240" w:lineRule="auto"/>
      </w:pPr>
      <w:r>
        <w:separator/>
      </w:r>
    </w:p>
  </w:endnote>
  <w:endnote w:type="continuationSeparator" w:id="0">
    <w:p w:rsidR="009E2865" w:rsidRDefault="009E2865" w:rsidP="007E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65" w:rsidRDefault="009E2865" w:rsidP="007E44F6">
      <w:pPr>
        <w:spacing w:after="0" w:line="240" w:lineRule="auto"/>
      </w:pPr>
      <w:r>
        <w:separator/>
      </w:r>
    </w:p>
  </w:footnote>
  <w:footnote w:type="continuationSeparator" w:id="0">
    <w:p w:rsidR="009E2865" w:rsidRDefault="009E2865" w:rsidP="007E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049C"/>
    <w:multiLevelType w:val="multilevel"/>
    <w:tmpl w:val="E9B4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2CCD"/>
    <w:multiLevelType w:val="singleLevel"/>
    <w:tmpl w:val="5CD60F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4E"/>
    <w:rsid w:val="0001784E"/>
    <w:rsid w:val="000943B9"/>
    <w:rsid w:val="000A77A2"/>
    <w:rsid w:val="000C7D2B"/>
    <w:rsid w:val="000E0755"/>
    <w:rsid w:val="000F324A"/>
    <w:rsid w:val="00102B99"/>
    <w:rsid w:val="00112BAD"/>
    <w:rsid w:val="001504D2"/>
    <w:rsid w:val="00153314"/>
    <w:rsid w:val="00162059"/>
    <w:rsid w:val="001754D0"/>
    <w:rsid w:val="001942C5"/>
    <w:rsid w:val="001D1EAE"/>
    <w:rsid w:val="001D5F10"/>
    <w:rsid w:val="00204F3B"/>
    <w:rsid w:val="00211944"/>
    <w:rsid w:val="00211B8A"/>
    <w:rsid w:val="00230659"/>
    <w:rsid w:val="002A4876"/>
    <w:rsid w:val="002C01B2"/>
    <w:rsid w:val="002E5ECA"/>
    <w:rsid w:val="00337E7B"/>
    <w:rsid w:val="003504FB"/>
    <w:rsid w:val="0036542F"/>
    <w:rsid w:val="00371309"/>
    <w:rsid w:val="003750F4"/>
    <w:rsid w:val="00377A0E"/>
    <w:rsid w:val="00396E62"/>
    <w:rsid w:val="003B14BF"/>
    <w:rsid w:val="003D19EE"/>
    <w:rsid w:val="003D2A56"/>
    <w:rsid w:val="003D32DC"/>
    <w:rsid w:val="004169C0"/>
    <w:rsid w:val="00423D64"/>
    <w:rsid w:val="00437A07"/>
    <w:rsid w:val="00474A0A"/>
    <w:rsid w:val="0048376A"/>
    <w:rsid w:val="00484E52"/>
    <w:rsid w:val="00492366"/>
    <w:rsid w:val="0049238C"/>
    <w:rsid w:val="004A3873"/>
    <w:rsid w:val="0052281F"/>
    <w:rsid w:val="0054559D"/>
    <w:rsid w:val="0058381C"/>
    <w:rsid w:val="005F3619"/>
    <w:rsid w:val="00674170"/>
    <w:rsid w:val="00681F78"/>
    <w:rsid w:val="006E5F00"/>
    <w:rsid w:val="007038C1"/>
    <w:rsid w:val="00761AB9"/>
    <w:rsid w:val="00763EA3"/>
    <w:rsid w:val="007E44F6"/>
    <w:rsid w:val="007E549F"/>
    <w:rsid w:val="007F6EDD"/>
    <w:rsid w:val="00815EA4"/>
    <w:rsid w:val="00860CE7"/>
    <w:rsid w:val="008E530C"/>
    <w:rsid w:val="008F7994"/>
    <w:rsid w:val="00930B0C"/>
    <w:rsid w:val="009712C0"/>
    <w:rsid w:val="009B0A3B"/>
    <w:rsid w:val="009C54EA"/>
    <w:rsid w:val="009E2865"/>
    <w:rsid w:val="00A62B39"/>
    <w:rsid w:val="00A64933"/>
    <w:rsid w:val="00A76E3E"/>
    <w:rsid w:val="00A82C7D"/>
    <w:rsid w:val="00A82FA5"/>
    <w:rsid w:val="00A87623"/>
    <w:rsid w:val="00AC2947"/>
    <w:rsid w:val="00B52CDF"/>
    <w:rsid w:val="00B87068"/>
    <w:rsid w:val="00B878D3"/>
    <w:rsid w:val="00B91A19"/>
    <w:rsid w:val="00BA5A65"/>
    <w:rsid w:val="00BB5CAC"/>
    <w:rsid w:val="00BD421E"/>
    <w:rsid w:val="00BE0EA6"/>
    <w:rsid w:val="00C4215D"/>
    <w:rsid w:val="00CF2312"/>
    <w:rsid w:val="00D013FE"/>
    <w:rsid w:val="00D140E3"/>
    <w:rsid w:val="00D26202"/>
    <w:rsid w:val="00D438A8"/>
    <w:rsid w:val="00D562DB"/>
    <w:rsid w:val="00DC45E4"/>
    <w:rsid w:val="00DE4E6F"/>
    <w:rsid w:val="00E24908"/>
    <w:rsid w:val="00E50A2B"/>
    <w:rsid w:val="00E56655"/>
    <w:rsid w:val="00E729FB"/>
    <w:rsid w:val="00EB1F3E"/>
    <w:rsid w:val="00F02212"/>
    <w:rsid w:val="00F11A26"/>
    <w:rsid w:val="00F11D0D"/>
    <w:rsid w:val="00F15967"/>
    <w:rsid w:val="00F31893"/>
    <w:rsid w:val="00F55C1D"/>
    <w:rsid w:val="00FA1490"/>
    <w:rsid w:val="00FD1177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4219"/>
  <w15:docId w15:val="{AFA2D6E2-A7AC-449E-B143-8CF56292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4E52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8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8376A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6E5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остой текст везде"/>
    <w:basedOn w:val="a0"/>
    <w:rsid w:val="00F31893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0"/>
    <w:uiPriority w:val="34"/>
    <w:qFormat/>
    <w:rsid w:val="007038C1"/>
    <w:pPr>
      <w:ind w:left="720"/>
      <w:contextualSpacing/>
    </w:pPr>
  </w:style>
  <w:style w:type="paragraph" w:styleId="2">
    <w:name w:val="Body Text Indent 2"/>
    <w:basedOn w:val="a0"/>
    <w:link w:val="20"/>
    <w:semiHidden/>
    <w:rsid w:val="000E07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20">
    <w:name w:val="Основной текст с отступом 2 Знак"/>
    <w:basedOn w:val="a1"/>
    <w:link w:val="2"/>
    <w:semiHidden/>
    <w:rsid w:val="000E075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a9">
    <w:name w:val="Body Text"/>
    <w:basedOn w:val="a0"/>
    <w:link w:val="aa"/>
    <w:semiHidden/>
    <w:rsid w:val="000E0755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1"/>
    <w:link w:val="a9"/>
    <w:semiHidden/>
    <w:rsid w:val="000E0755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0"/>
    <w:link w:val="ac"/>
    <w:uiPriority w:val="99"/>
    <w:unhideWhenUsed/>
    <w:rsid w:val="007E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E44F6"/>
  </w:style>
  <w:style w:type="paragraph" w:styleId="ad">
    <w:name w:val="footer"/>
    <w:basedOn w:val="a0"/>
    <w:link w:val="ae"/>
    <w:uiPriority w:val="99"/>
    <w:unhideWhenUsed/>
    <w:rsid w:val="007E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7E44F6"/>
  </w:style>
  <w:style w:type="paragraph" w:customStyle="1" w:styleId="a">
    <w:name w:val="Список с точками"/>
    <w:basedOn w:val="a0"/>
    <w:rsid w:val="000A77A2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">
    <w:name w:val="Комментарий"/>
    <w:basedOn w:val="a7"/>
    <w:rsid w:val="000A77A2"/>
    <w:pPr>
      <w:ind w:firstLine="0"/>
    </w:pPr>
    <w:rPr>
      <w:i/>
    </w:rPr>
  </w:style>
  <w:style w:type="paragraph" w:customStyle="1" w:styleId="af0">
    <w:name w:val="Вопросы"/>
    <w:basedOn w:val="a9"/>
    <w:rsid w:val="00FF3B1A"/>
    <w:pPr>
      <w:spacing w:after="0"/>
      <w:ind w:firstLine="567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2568">
          <w:marLeft w:val="0"/>
          <w:marRight w:val="0"/>
          <w:marTop w:val="150"/>
          <w:marBottom w:val="150"/>
          <w:divBdr>
            <w:top w:val="single" w:sz="6" w:space="1" w:color="CDCDCD"/>
            <w:left w:val="none" w:sz="0" w:space="0" w:color="auto"/>
            <w:bottom w:val="single" w:sz="6" w:space="1" w:color="CDCDCD"/>
            <w:right w:val="none" w:sz="0" w:space="0" w:color="auto"/>
          </w:divBdr>
        </w:div>
      </w:divsChild>
    </w:div>
    <w:div w:id="838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_________Microsoft_Visio_2003_2010.vsd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6FA0-5618-4C33-B96D-477150EC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vik</cp:lastModifiedBy>
  <cp:revision>5</cp:revision>
  <cp:lastPrinted>2017-10-29T18:28:00Z</cp:lastPrinted>
  <dcterms:created xsi:type="dcterms:W3CDTF">2018-01-06T20:53:00Z</dcterms:created>
  <dcterms:modified xsi:type="dcterms:W3CDTF">2018-05-31T10:16:00Z</dcterms:modified>
</cp:coreProperties>
</file>